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BD9E0" w14:textId="6855CA95" w:rsidR="00F74074" w:rsidRPr="004A7BB3" w:rsidRDefault="003958C4" w:rsidP="004A7BB3">
      <w:pPr>
        <w:rPr>
          <w:rFonts w:ascii="Verdana" w:hAnsi="Verdana"/>
          <w:b/>
          <w:sz w:val="19"/>
          <w:szCs w:val="19"/>
        </w:rPr>
      </w:pPr>
      <w:r w:rsidRPr="004A7BB3">
        <w:rPr>
          <w:noProof/>
          <w:lang w:val="en-ZA" w:eastAsia="en-ZA"/>
        </w:rPr>
        <w:drawing>
          <wp:inline distT="0" distB="0" distL="0" distR="0" wp14:anchorId="371A8923" wp14:editId="100BD82A">
            <wp:extent cx="2192824" cy="571500"/>
            <wp:effectExtent l="0" t="0" r="0" b="0"/>
            <wp:docPr id="3" name="Picture 1" descr="sty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y hea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3565" cy="571693"/>
                    </a:xfrm>
                    <a:prstGeom prst="rect">
                      <a:avLst/>
                    </a:prstGeom>
                    <a:noFill/>
                    <a:ln>
                      <a:noFill/>
                    </a:ln>
                  </pic:spPr>
                </pic:pic>
              </a:graphicData>
            </a:graphic>
          </wp:inline>
        </w:drawing>
      </w:r>
      <w:r w:rsidR="00E05439" w:rsidRPr="004A7BB3">
        <w:rPr>
          <w:rFonts w:ascii="Verdana" w:hAnsi="Verdana"/>
          <w:b/>
          <w:sz w:val="19"/>
          <w:szCs w:val="19"/>
        </w:rPr>
        <w:t xml:space="preserve"> </w:t>
      </w:r>
      <w:r w:rsidR="00E05439" w:rsidRPr="004A7BB3">
        <w:rPr>
          <w:rFonts w:ascii="Verdana" w:hAnsi="Verdana"/>
          <w:b/>
          <w:sz w:val="19"/>
          <w:szCs w:val="19"/>
        </w:rPr>
        <w:tab/>
      </w:r>
      <w:r w:rsidR="00D06C66" w:rsidRPr="004A7BB3">
        <w:rPr>
          <w:rFonts w:ascii="Verdana" w:hAnsi="Verdana"/>
          <w:b/>
          <w:sz w:val="19"/>
          <w:szCs w:val="19"/>
        </w:rPr>
        <w:tab/>
      </w:r>
      <w:r w:rsidR="00E05439" w:rsidRPr="004A7BB3">
        <w:rPr>
          <w:rFonts w:ascii="Verdana" w:hAnsi="Verdana"/>
          <w:noProof/>
          <w:sz w:val="19"/>
          <w:szCs w:val="19"/>
          <w:lang w:val="en-ZA" w:eastAsia="en-ZA"/>
        </w:rPr>
        <w:drawing>
          <wp:inline distT="0" distB="0" distL="0" distR="0" wp14:anchorId="31706B92" wp14:editId="146ADC68">
            <wp:extent cx="1200150" cy="7321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3047" cy="733908"/>
                    </a:xfrm>
                    <a:prstGeom prst="rect">
                      <a:avLst/>
                    </a:prstGeom>
                    <a:noFill/>
                    <a:ln>
                      <a:noFill/>
                    </a:ln>
                  </pic:spPr>
                </pic:pic>
              </a:graphicData>
            </a:graphic>
          </wp:inline>
        </w:drawing>
      </w:r>
      <w:r w:rsidR="00E05439" w:rsidRPr="004A7BB3">
        <w:rPr>
          <w:rFonts w:ascii="Verdana" w:hAnsi="Verdana"/>
          <w:b/>
          <w:sz w:val="19"/>
          <w:szCs w:val="19"/>
        </w:rPr>
        <w:tab/>
      </w:r>
      <w:r w:rsidR="00A461EB">
        <w:rPr>
          <w:rFonts w:ascii="Verdana" w:hAnsi="Verdana"/>
          <w:b/>
          <w:sz w:val="19"/>
          <w:szCs w:val="19"/>
        </w:rPr>
        <w:t xml:space="preserve">       </w:t>
      </w:r>
      <w:r w:rsidR="00A461EB">
        <w:rPr>
          <w:noProof/>
          <w:lang w:val="en-ZA" w:eastAsia="en-ZA"/>
        </w:rPr>
        <w:drawing>
          <wp:inline distT="0" distB="0" distL="0" distR="0" wp14:anchorId="086B5855" wp14:editId="1568962C">
            <wp:extent cx="1019175" cy="895350"/>
            <wp:effectExtent l="0" t="0" r="9525" b="0"/>
            <wp:docPr id="2" name="Picture 2" descr="logo-iaj-u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aj-ui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895350"/>
                    </a:xfrm>
                    <a:prstGeom prst="rect">
                      <a:avLst/>
                    </a:prstGeom>
                    <a:noFill/>
                    <a:ln>
                      <a:noFill/>
                    </a:ln>
                  </pic:spPr>
                </pic:pic>
              </a:graphicData>
            </a:graphic>
          </wp:inline>
        </w:drawing>
      </w:r>
    </w:p>
    <w:p w14:paraId="7C72454E" w14:textId="77777777" w:rsidR="00D06C66" w:rsidRPr="004A7BB3" w:rsidRDefault="00D06C66" w:rsidP="004A7BB3">
      <w:pPr>
        <w:jc w:val="both"/>
        <w:rPr>
          <w:rFonts w:ascii="Verdana" w:hAnsi="Verdana"/>
          <w:b/>
          <w:sz w:val="19"/>
          <w:szCs w:val="19"/>
        </w:rPr>
      </w:pPr>
    </w:p>
    <w:p w14:paraId="46D9C6DC" w14:textId="77777777" w:rsidR="00F74074" w:rsidRPr="004A7BB3" w:rsidRDefault="00E33B4C" w:rsidP="004A7BB3">
      <w:pPr>
        <w:jc w:val="both"/>
        <w:rPr>
          <w:rFonts w:ascii="Verdana" w:hAnsi="Verdana"/>
          <w:b/>
          <w:sz w:val="19"/>
          <w:szCs w:val="19"/>
        </w:rPr>
      </w:pPr>
      <w:r w:rsidRPr="004A7BB3">
        <w:rPr>
          <w:rFonts w:ascii="Verdana" w:hAnsi="Verdana"/>
          <w:b/>
          <w:sz w:val="19"/>
          <w:szCs w:val="19"/>
        </w:rPr>
        <w:t xml:space="preserve">October 2017 </w:t>
      </w:r>
    </w:p>
    <w:p w14:paraId="2BAEB3C6" w14:textId="57F1FBF4" w:rsidR="00B64DC3" w:rsidRPr="004A7BB3" w:rsidRDefault="00B64DC3" w:rsidP="004A7BB3">
      <w:pPr>
        <w:rPr>
          <w:rFonts w:ascii="Verdana" w:hAnsi="Verdana"/>
          <w:b/>
          <w:sz w:val="19"/>
          <w:szCs w:val="19"/>
        </w:rPr>
      </w:pPr>
      <w:r w:rsidRPr="004A7BB3">
        <w:rPr>
          <w:rFonts w:ascii="Verdana" w:hAnsi="Verdana"/>
          <w:b/>
          <w:sz w:val="19"/>
          <w:szCs w:val="19"/>
        </w:rPr>
        <w:t>SEYCHELLES</w:t>
      </w:r>
      <w:r w:rsidR="00E33B4C" w:rsidRPr="004A7BB3">
        <w:rPr>
          <w:rFonts w:ascii="Verdana" w:hAnsi="Verdana"/>
          <w:b/>
          <w:sz w:val="19"/>
          <w:szCs w:val="19"/>
        </w:rPr>
        <w:t xml:space="preserve">: Judicial Independence and Accountability </w:t>
      </w:r>
    </w:p>
    <w:p w14:paraId="68338234" w14:textId="77777777" w:rsidR="00B64DC3" w:rsidRPr="004A7BB3" w:rsidRDefault="00B64DC3">
      <w:pPr>
        <w:rPr>
          <w:rFonts w:ascii="Verdana" w:hAnsi="Verdana"/>
          <w:sz w:val="19"/>
          <w:szCs w:val="19"/>
        </w:rPr>
      </w:pPr>
    </w:p>
    <w:p w14:paraId="1B16E57A" w14:textId="0883E6A5" w:rsidR="003958C4" w:rsidRDefault="003958C4" w:rsidP="004A7BB3">
      <w:pPr>
        <w:widowControl w:val="0"/>
        <w:autoSpaceDE w:val="0"/>
        <w:autoSpaceDN w:val="0"/>
        <w:adjustRightInd w:val="0"/>
        <w:spacing w:after="0" w:line="276" w:lineRule="auto"/>
        <w:jc w:val="both"/>
        <w:rPr>
          <w:rFonts w:ascii="Verdana" w:hAnsi="Verdana" w:cs="Times New Roman"/>
          <w:sz w:val="18"/>
          <w:szCs w:val="18"/>
          <w:lang w:val="en-US"/>
        </w:rPr>
      </w:pPr>
      <w:r w:rsidRPr="004A7BB3">
        <w:rPr>
          <w:rFonts w:ascii="Verdana" w:hAnsi="Verdana"/>
          <w:sz w:val="18"/>
          <w:szCs w:val="18"/>
        </w:rPr>
        <w:t>The undersigned organisations are gravely concerned about recent reports of events affecting the judiciary in the Seychelles.</w:t>
      </w:r>
      <w:r w:rsidR="00FC64B8" w:rsidRPr="004A7BB3">
        <w:rPr>
          <w:rFonts w:ascii="Verdana" w:hAnsi="Verdana"/>
          <w:sz w:val="18"/>
          <w:szCs w:val="18"/>
        </w:rPr>
        <w:t xml:space="preserve"> </w:t>
      </w:r>
      <w:r w:rsidR="007018FF">
        <w:rPr>
          <w:rFonts w:ascii="Verdana" w:hAnsi="Verdana"/>
          <w:sz w:val="18"/>
          <w:szCs w:val="18"/>
        </w:rPr>
        <w:t xml:space="preserve">The developments in Seychelles have the potential to affect </w:t>
      </w:r>
      <w:r w:rsidR="00924F0D">
        <w:rPr>
          <w:rFonts w:ascii="Verdana" w:hAnsi="Verdana" w:cs="Times New Roman"/>
          <w:sz w:val="18"/>
          <w:szCs w:val="18"/>
          <w:lang w:val="en-US"/>
        </w:rPr>
        <w:t xml:space="preserve">the actual and perceived independence of the court. </w:t>
      </w:r>
    </w:p>
    <w:p w14:paraId="45C5DA8E" w14:textId="77777777" w:rsidR="00420E72" w:rsidRPr="004A7BB3" w:rsidRDefault="00420E72" w:rsidP="004A7BB3">
      <w:pPr>
        <w:widowControl w:val="0"/>
        <w:autoSpaceDE w:val="0"/>
        <w:autoSpaceDN w:val="0"/>
        <w:adjustRightInd w:val="0"/>
        <w:spacing w:after="0" w:line="276" w:lineRule="auto"/>
        <w:jc w:val="both"/>
        <w:rPr>
          <w:rFonts w:ascii="Verdana" w:hAnsi="Verdana" w:cs="Times New Roman"/>
          <w:sz w:val="18"/>
          <w:szCs w:val="18"/>
          <w:lang w:val="en-US"/>
        </w:rPr>
      </w:pPr>
    </w:p>
    <w:p w14:paraId="0A9BAF0F" w14:textId="2EA956C2" w:rsidR="003F60A1" w:rsidRPr="001C6B89" w:rsidRDefault="000A4303" w:rsidP="004A7BB3">
      <w:pPr>
        <w:spacing w:line="276" w:lineRule="auto"/>
        <w:jc w:val="both"/>
        <w:rPr>
          <w:rFonts w:ascii="Verdana" w:hAnsi="Verdana"/>
          <w:sz w:val="18"/>
          <w:szCs w:val="18"/>
        </w:rPr>
      </w:pPr>
      <w:r w:rsidRPr="001C6B89">
        <w:rPr>
          <w:rFonts w:ascii="Verdana" w:hAnsi="Verdana"/>
          <w:sz w:val="18"/>
          <w:szCs w:val="18"/>
        </w:rPr>
        <w:t>Multiple international guidelines and best practice standards highlight the crucial importance of the independence of the judiciary.</w:t>
      </w:r>
      <w:r>
        <w:rPr>
          <w:rFonts w:ascii="Verdana" w:hAnsi="Verdana"/>
          <w:sz w:val="18"/>
          <w:szCs w:val="18"/>
        </w:rPr>
        <w:t xml:space="preserve"> </w:t>
      </w:r>
      <w:r w:rsidR="00BD41EE">
        <w:rPr>
          <w:rFonts w:ascii="Verdana" w:hAnsi="Verdana" w:cs="Times New Roman"/>
          <w:sz w:val="18"/>
          <w:szCs w:val="18"/>
        </w:rPr>
        <w:t xml:space="preserve">The Latimer House </w:t>
      </w:r>
      <w:r w:rsidR="00F03942">
        <w:rPr>
          <w:rFonts w:ascii="Verdana" w:hAnsi="Verdana" w:cs="Times New Roman"/>
          <w:sz w:val="18"/>
          <w:szCs w:val="18"/>
        </w:rPr>
        <w:t>Principle</w:t>
      </w:r>
      <w:r w:rsidR="00333229">
        <w:rPr>
          <w:rFonts w:ascii="Verdana" w:hAnsi="Verdana" w:cs="Times New Roman"/>
          <w:sz w:val="18"/>
          <w:szCs w:val="18"/>
        </w:rPr>
        <w:t>s</w:t>
      </w:r>
      <w:r w:rsidR="00BD41EE">
        <w:rPr>
          <w:rFonts w:ascii="Verdana" w:hAnsi="Verdana" w:cs="Times New Roman"/>
          <w:sz w:val="18"/>
          <w:szCs w:val="18"/>
        </w:rPr>
        <w:t xml:space="preserve"> </w:t>
      </w:r>
      <w:r w:rsidR="008D06F4">
        <w:rPr>
          <w:rFonts w:ascii="Verdana" w:hAnsi="Verdana" w:cs="Times New Roman"/>
          <w:sz w:val="18"/>
          <w:szCs w:val="18"/>
        </w:rPr>
        <w:t>recognised that</w:t>
      </w:r>
      <w:r w:rsidR="00BD41EE">
        <w:rPr>
          <w:rFonts w:ascii="Verdana" w:hAnsi="Verdana" w:cs="Times New Roman"/>
          <w:sz w:val="18"/>
          <w:szCs w:val="18"/>
        </w:rPr>
        <w:t xml:space="preserve"> </w:t>
      </w:r>
      <w:r w:rsidR="00BE55C7">
        <w:rPr>
          <w:rFonts w:ascii="Verdana" w:hAnsi="Verdana" w:cs="Times New Roman"/>
          <w:sz w:val="18"/>
          <w:szCs w:val="18"/>
        </w:rPr>
        <w:t>“a</w:t>
      </w:r>
      <w:r w:rsidR="00C65F48" w:rsidRPr="004A7BB3">
        <w:rPr>
          <w:rFonts w:ascii="Verdana" w:hAnsi="Verdana" w:cs="Times New Roman"/>
          <w:sz w:val="18"/>
          <w:szCs w:val="18"/>
        </w:rPr>
        <w:t>n independent, impartial, honest and competent judiciary is integral to upholding the rule of law, engendering public confidence and dispensing justice.</w:t>
      </w:r>
      <w:r w:rsidR="00BE55C7">
        <w:rPr>
          <w:rFonts w:ascii="Verdana" w:hAnsi="Verdana" w:cs="Times New Roman"/>
          <w:sz w:val="18"/>
          <w:szCs w:val="18"/>
        </w:rPr>
        <w:t>”</w:t>
      </w:r>
      <w:r w:rsidR="00A33070" w:rsidRPr="004A7BB3">
        <w:rPr>
          <w:rStyle w:val="FootnoteReference"/>
          <w:rFonts w:ascii="Verdana" w:hAnsi="Verdana" w:cs="Times New Roman"/>
          <w:sz w:val="18"/>
          <w:szCs w:val="18"/>
        </w:rPr>
        <w:footnoteReference w:id="1"/>
      </w:r>
      <w:r w:rsidR="003F3A09" w:rsidRPr="004A7BB3">
        <w:rPr>
          <w:rFonts w:ascii="Verdana" w:hAnsi="Verdana"/>
          <w:sz w:val="18"/>
          <w:szCs w:val="18"/>
        </w:rPr>
        <w:t xml:space="preserve"> This </w:t>
      </w:r>
      <w:r w:rsidR="00CC626E" w:rsidRPr="004A7BB3">
        <w:rPr>
          <w:rFonts w:ascii="Verdana" w:hAnsi="Verdana"/>
          <w:sz w:val="18"/>
          <w:szCs w:val="18"/>
        </w:rPr>
        <w:t>principle is reiterated in</w:t>
      </w:r>
      <w:r w:rsidR="008C62B7" w:rsidRPr="004A7BB3">
        <w:rPr>
          <w:rFonts w:ascii="Verdana" w:hAnsi="Verdana"/>
          <w:sz w:val="18"/>
          <w:szCs w:val="18"/>
        </w:rPr>
        <w:t xml:space="preserve"> section 119 (2) of the Constitution of Seychelles</w:t>
      </w:r>
      <w:r w:rsidR="000F50E6">
        <w:rPr>
          <w:rFonts w:ascii="Verdana" w:hAnsi="Verdana"/>
          <w:sz w:val="18"/>
          <w:szCs w:val="18"/>
        </w:rPr>
        <w:t xml:space="preserve"> which guarantees the independence of the judiciary and makes it subject only to the Constitution and laws of the country. </w:t>
      </w:r>
      <w:r w:rsidR="00283114">
        <w:rPr>
          <w:rFonts w:ascii="Verdana" w:hAnsi="Verdana"/>
          <w:sz w:val="18"/>
          <w:szCs w:val="18"/>
        </w:rPr>
        <w:t>I</w:t>
      </w:r>
      <w:r w:rsidR="003F3A09" w:rsidRPr="004A7BB3">
        <w:rPr>
          <w:rFonts w:ascii="Verdana" w:hAnsi="Verdana"/>
          <w:sz w:val="18"/>
          <w:szCs w:val="18"/>
        </w:rPr>
        <w:t xml:space="preserve">n </w:t>
      </w:r>
      <w:r w:rsidR="00CC626E" w:rsidRPr="004A7BB3">
        <w:rPr>
          <w:rFonts w:ascii="Verdana" w:hAnsi="Verdana"/>
          <w:sz w:val="18"/>
          <w:szCs w:val="18"/>
        </w:rPr>
        <w:t xml:space="preserve">addition </w:t>
      </w:r>
      <w:r w:rsidR="003F3A09" w:rsidRPr="004A7BB3">
        <w:rPr>
          <w:rFonts w:ascii="Verdana" w:hAnsi="Verdana"/>
          <w:sz w:val="18"/>
          <w:szCs w:val="18"/>
        </w:rPr>
        <w:t>article 1 of the Seychelles Code of Judicial Conduct, states that an independent judiciary is indispensable to the proper administration of justice.</w:t>
      </w:r>
      <w:r w:rsidR="00BE7037">
        <w:rPr>
          <w:rFonts w:ascii="Verdana" w:hAnsi="Verdana"/>
          <w:sz w:val="18"/>
          <w:szCs w:val="18"/>
        </w:rPr>
        <w:t xml:space="preserve"> An important prerequisite to ensuring </w:t>
      </w:r>
      <w:r w:rsidR="00E81552">
        <w:rPr>
          <w:rFonts w:ascii="Verdana" w:hAnsi="Verdana"/>
          <w:sz w:val="18"/>
          <w:szCs w:val="18"/>
        </w:rPr>
        <w:t>independence</w:t>
      </w:r>
      <w:r w:rsidR="00BE7037">
        <w:rPr>
          <w:rFonts w:ascii="Verdana" w:hAnsi="Verdana"/>
          <w:sz w:val="18"/>
          <w:szCs w:val="18"/>
        </w:rPr>
        <w:t xml:space="preserve"> is a credi</w:t>
      </w:r>
      <w:r w:rsidR="00E81552">
        <w:rPr>
          <w:rFonts w:ascii="Verdana" w:hAnsi="Verdana"/>
          <w:sz w:val="18"/>
          <w:szCs w:val="18"/>
        </w:rPr>
        <w:t xml:space="preserve">ble appointment process. Not only does this ensure that </w:t>
      </w:r>
      <w:r w:rsidR="00DC397F">
        <w:rPr>
          <w:rFonts w:ascii="Verdana" w:hAnsi="Verdana"/>
          <w:sz w:val="18"/>
          <w:szCs w:val="18"/>
        </w:rPr>
        <w:t xml:space="preserve">the </w:t>
      </w:r>
      <w:r w:rsidR="00E81552">
        <w:rPr>
          <w:rFonts w:ascii="Verdana" w:hAnsi="Verdana"/>
          <w:sz w:val="18"/>
          <w:szCs w:val="18"/>
        </w:rPr>
        <w:t xml:space="preserve">right people are appointed but it goes a long way to ensure and sustain public confidence in the independence of the Judiciary. </w:t>
      </w:r>
      <w:r w:rsidR="003F60A1">
        <w:rPr>
          <w:rFonts w:ascii="Verdana" w:hAnsi="Verdana"/>
          <w:sz w:val="18"/>
          <w:szCs w:val="18"/>
        </w:rPr>
        <w:t xml:space="preserve">To this extent we are concerned about proposed changes to the </w:t>
      </w:r>
      <w:r w:rsidR="003F60A1" w:rsidRPr="001C6B89">
        <w:rPr>
          <w:rFonts w:ascii="Verdana" w:hAnsi="Verdana"/>
          <w:sz w:val="18"/>
          <w:szCs w:val="18"/>
        </w:rPr>
        <w:t>Constitutional Appointments Authority (CAA)</w:t>
      </w:r>
      <w:r w:rsidR="003F60A1">
        <w:rPr>
          <w:rFonts w:ascii="Verdana" w:hAnsi="Verdana"/>
          <w:sz w:val="18"/>
          <w:szCs w:val="18"/>
        </w:rPr>
        <w:t xml:space="preserve">. </w:t>
      </w:r>
      <w:r w:rsidR="00D75EE9">
        <w:rPr>
          <w:rFonts w:ascii="Verdana" w:hAnsi="Verdana"/>
          <w:sz w:val="18"/>
          <w:szCs w:val="18"/>
        </w:rPr>
        <w:t>T</w:t>
      </w:r>
      <w:r w:rsidR="003F60A1" w:rsidRPr="001C6B89">
        <w:rPr>
          <w:rFonts w:ascii="Verdana" w:hAnsi="Verdana"/>
          <w:sz w:val="18"/>
          <w:szCs w:val="18"/>
        </w:rPr>
        <w:t xml:space="preserve">he </w:t>
      </w:r>
      <w:r w:rsidR="00CE2370">
        <w:rPr>
          <w:rFonts w:ascii="Verdana" w:hAnsi="Verdana"/>
          <w:sz w:val="18"/>
          <w:szCs w:val="18"/>
        </w:rPr>
        <w:t>CAA</w:t>
      </w:r>
      <w:r w:rsidR="003F60A1" w:rsidRPr="001C6B89">
        <w:rPr>
          <w:rFonts w:ascii="Verdana" w:hAnsi="Verdana"/>
          <w:sz w:val="18"/>
          <w:szCs w:val="18"/>
        </w:rPr>
        <w:t xml:space="preserve"> </w:t>
      </w:r>
      <w:r w:rsidR="00206CDB">
        <w:rPr>
          <w:rFonts w:ascii="Verdana" w:hAnsi="Verdana"/>
          <w:sz w:val="18"/>
          <w:szCs w:val="18"/>
        </w:rPr>
        <w:t>a</w:t>
      </w:r>
      <w:r w:rsidR="00D75EE9">
        <w:rPr>
          <w:rFonts w:ascii="Verdana" w:hAnsi="Verdana"/>
          <w:sz w:val="18"/>
          <w:szCs w:val="18"/>
        </w:rPr>
        <w:t xml:space="preserve">s </w:t>
      </w:r>
      <w:r w:rsidR="00206CDB">
        <w:rPr>
          <w:rFonts w:ascii="Verdana" w:hAnsi="Verdana"/>
          <w:sz w:val="18"/>
          <w:szCs w:val="18"/>
        </w:rPr>
        <w:t xml:space="preserve">the organ </w:t>
      </w:r>
      <w:r w:rsidR="00D75EE9">
        <w:rPr>
          <w:rFonts w:ascii="Verdana" w:hAnsi="Verdana"/>
          <w:sz w:val="18"/>
          <w:szCs w:val="18"/>
        </w:rPr>
        <w:t>mandated to</w:t>
      </w:r>
      <w:r w:rsidR="006710A3">
        <w:rPr>
          <w:rFonts w:ascii="Verdana" w:hAnsi="Verdana"/>
          <w:sz w:val="18"/>
          <w:szCs w:val="18"/>
        </w:rPr>
        <w:t xml:space="preserve"> deal</w:t>
      </w:r>
      <w:r w:rsidR="003F60A1" w:rsidRPr="001C6B89">
        <w:rPr>
          <w:rFonts w:ascii="Verdana" w:hAnsi="Verdana"/>
          <w:sz w:val="18"/>
          <w:szCs w:val="18"/>
        </w:rPr>
        <w:t xml:space="preserve"> with the appointment of judges, and </w:t>
      </w:r>
      <w:r w:rsidR="00F72535">
        <w:rPr>
          <w:rFonts w:ascii="Verdana" w:hAnsi="Verdana"/>
          <w:sz w:val="18"/>
          <w:szCs w:val="18"/>
        </w:rPr>
        <w:t xml:space="preserve">to </w:t>
      </w:r>
      <w:r w:rsidR="006710A3">
        <w:rPr>
          <w:rFonts w:ascii="Verdana" w:hAnsi="Verdana"/>
          <w:sz w:val="18"/>
          <w:szCs w:val="18"/>
        </w:rPr>
        <w:t>set</w:t>
      </w:r>
      <w:r w:rsidR="003F60A1" w:rsidRPr="001C6B89">
        <w:rPr>
          <w:rFonts w:ascii="Verdana" w:hAnsi="Verdana"/>
          <w:sz w:val="18"/>
          <w:szCs w:val="18"/>
        </w:rPr>
        <w:t xml:space="preserve"> up tribunals to inquire into the potential impeachment of judges</w:t>
      </w:r>
      <w:r w:rsidR="00206CDB">
        <w:rPr>
          <w:rFonts w:ascii="Verdana" w:hAnsi="Verdana"/>
          <w:sz w:val="18"/>
          <w:szCs w:val="18"/>
        </w:rPr>
        <w:t xml:space="preserve"> </w:t>
      </w:r>
      <w:r w:rsidR="00F72535">
        <w:rPr>
          <w:rFonts w:ascii="Verdana" w:hAnsi="Verdana"/>
          <w:sz w:val="18"/>
          <w:szCs w:val="18"/>
        </w:rPr>
        <w:t xml:space="preserve">is central to the </w:t>
      </w:r>
      <w:r w:rsidR="00375072">
        <w:rPr>
          <w:rFonts w:ascii="Verdana" w:hAnsi="Verdana"/>
          <w:sz w:val="18"/>
          <w:szCs w:val="18"/>
        </w:rPr>
        <w:t>perception</w:t>
      </w:r>
      <w:r w:rsidR="008E3764">
        <w:rPr>
          <w:rFonts w:ascii="Verdana" w:hAnsi="Verdana"/>
          <w:sz w:val="18"/>
          <w:szCs w:val="18"/>
        </w:rPr>
        <w:t xml:space="preserve"> of the court in Seychelles. It is our understanding</w:t>
      </w:r>
      <w:r w:rsidR="00FC2C20">
        <w:rPr>
          <w:rFonts w:ascii="Verdana" w:hAnsi="Verdana"/>
          <w:sz w:val="18"/>
          <w:szCs w:val="18"/>
        </w:rPr>
        <w:t xml:space="preserve"> that the composition of CAA</w:t>
      </w:r>
      <w:r w:rsidR="003F60A1" w:rsidRPr="001C6B89">
        <w:rPr>
          <w:rFonts w:ascii="Verdana" w:hAnsi="Verdana"/>
          <w:sz w:val="18"/>
          <w:szCs w:val="18"/>
        </w:rPr>
        <w:t xml:space="preserve"> is being changed</w:t>
      </w:r>
      <w:r w:rsidR="006710A3">
        <w:rPr>
          <w:rFonts w:ascii="Verdana" w:hAnsi="Verdana"/>
          <w:sz w:val="18"/>
          <w:szCs w:val="18"/>
        </w:rPr>
        <w:t>,</w:t>
      </w:r>
      <w:r w:rsidR="003F60A1" w:rsidRPr="001C6B89">
        <w:rPr>
          <w:rFonts w:ascii="Verdana" w:hAnsi="Verdana"/>
          <w:sz w:val="18"/>
          <w:szCs w:val="18"/>
        </w:rPr>
        <w:t xml:space="preserve"> </w:t>
      </w:r>
      <w:r w:rsidR="00565622">
        <w:rPr>
          <w:rFonts w:ascii="Verdana" w:hAnsi="Verdana"/>
          <w:sz w:val="18"/>
          <w:szCs w:val="18"/>
        </w:rPr>
        <w:t>the net effect of which is to</w:t>
      </w:r>
      <w:r w:rsidR="00375072">
        <w:rPr>
          <w:rFonts w:ascii="Verdana" w:hAnsi="Verdana"/>
          <w:sz w:val="18"/>
          <w:szCs w:val="18"/>
        </w:rPr>
        <w:t xml:space="preserve"> exclude</w:t>
      </w:r>
      <w:r w:rsidR="003F60A1" w:rsidRPr="001C6B89">
        <w:rPr>
          <w:rFonts w:ascii="Verdana" w:hAnsi="Verdana"/>
          <w:sz w:val="18"/>
          <w:szCs w:val="18"/>
        </w:rPr>
        <w:t xml:space="preserve"> the Chief Justice or any other judge. </w:t>
      </w:r>
      <w:r w:rsidR="00825C7B">
        <w:rPr>
          <w:rFonts w:ascii="Verdana" w:hAnsi="Verdana"/>
          <w:sz w:val="18"/>
          <w:szCs w:val="18"/>
        </w:rPr>
        <w:t xml:space="preserve">These changes have the potential to render the judiciary subservient </w:t>
      </w:r>
      <w:r w:rsidR="006D4ABC">
        <w:rPr>
          <w:rFonts w:ascii="Verdana" w:hAnsi="Verdana"/>
          <w:sz w:val="18"/>
          <w:szCs w:val="18"/>
        </w:rPr>
        <w:t>or under the influence of an external organ</w:t>
      </w:r>
      <w:r w:rsidR="003F60A1" w:rsidRPr="001C6B89">
        <w:rPr>
          <w:rFonts w:ascii="Verdana" w:hAnsi="Verdana"/>
          <w:sz w:val="18"/>
          <w:szCs w:val="18"/>
        </w:rPr>
        <w:t>. A credible system of judicial appointment and discipline must guard against such a possibility</w:t>
      </w:r>
      <w:r w:rsidR="00B71A81">
        <w:rPr>
          <w:rFonts w:ascii="Verdana" w:hAnsi="Verdana"/>
          <w:sz w:val="18"/>
          <w:szCs w:val="18"/>
        </w:rPr>
        <w:t xml:space="preserve"> of external influence on the </w:t>
      </w:r>
      <w:r w:rsidR="00AE2368">
        <w:rPr>
          <w:rFonts w:ascii="Verdana" w:hAnsi="Verdana"/>
          <w:sz w:val="18"/>
          <w:szCs w:val="18"/>
        </w:rPr>
        <w:t>judiciary.</w:t>
      </w:r>
    </w:p>
    <w:p w14:paraId="66794669" w14:textId="4D61B2D1" w:rsidR="003958C4" w:rsidRPr="004A7BB3" w:rsidRDefault="005D05D8" w:rsidP="004A7BB3">
      <w:pPr>
        <w:spacing w:line="276" w:lineRule="auto"/>
        <w:jc w:val="both"/>
        <w:rPr>
          <w:rFonts w:ascii="Verdana" w:hAnsi="Verdana"/>
          <w:sz w:val="18"/>
          <w:szCs w:val="18"/>
        </w:rPr>
      </w:pPr>
      <w:r>
        <w:rPr>
          <w:rFonts w:ascii="Verdana" w:hAnsi="Verdana"/>
          <w:sz w:val="18"/>
          <w:szCs w:val="18"/>
        </w:rPr>
        <w:t xml:space="preserve">Equally as important to judicial </w:t>
      </w:r>
      <w:r w:rsidR="00222858">
        <w:rPr>
          <w:rFonts w:ascii="Verdana" w:hAnsi="Verdana"/>
          <w:sz w:val="18"/>
          <w:szCs w:val="18"/>
        </w:rPr>
        <w:t xml:space="preserve">independence, is the credibility </w:t>
      </w:r>
      <w:r w:rsidR="00667FDF">
        <w:rPr>
          <w:rFonts w:ascii="Verdana" w:hAnsi="Verdana"/>
          <w:sz w:val="18"/>
          <w:szCs w:val="18"/>
        </w:rPr>
        <w:t xml:space="preserve">and efficacy of the mechanisms set up to hold judges accountable for </w:t>
      </w:r>
      <w:r w:rsidR="0021541B">
        <w:rPr>
          <w:rFonts w:ascii="Verdana" w:hAnsi="Verdana"/>
          <w:sz w:val="18"/>
          <w:szCs w:val="18"/>
        </w:rPr>
        <w:t xml:space="preserve">their misconduct. </w:t>
      </w:r>
      <w:r w:rsidR="003B7EFE">
        <w:rPr>
          <w:rFonts w:ascii="Verdana" w:hAnsi="Verdana"/>
          <w:sz w:val="18"/>
          <w:szCs w:val="18"/>
        </w:rPr>
        <w:t xml:space="preserve">The procedures or mechanism for holding judges to account should be fair and objective. </w:t>
      </w:r>
      <w:r w:rsidR="00CE6178">
        <w:rPr>
          <w:rFonts w:ascii="Verdana" w:hAnsi="Verdana"/>
          <w:sz w:val="18"/>
          <w:szCs w:val="18"/>
        </w:rPr>
        <w:t xml:space="preserve">The effectiveness of the accountability mechanism is diminished </w:t>
      </w:r>
      <w:r w:rsidR="00D5545E">
        <w:rPr>
          <w:rFonts w:ascii="Verdana" w:hAnsi="Verdana"/>
          <w:sz w:val="18"/>
          <w:szCs w:val="18"/>
        </w:rPr>
        <w:t xml:space="preserve">if its recommendations are not executed. </w:t>
      </w:r>
      <w:r w:rsidR="003958C4" w:rsidRPr="004A7BB3">
        <w:rPr>
          <w:rFonts w:ascii="Verdana" w:hAnsi="Verdana"/>
          <w:sz w:val="18"/>
          <w:szCs w:val="18"/>
        </w:rPr>
        <w:t>We understand that an official inquiry into the conduct of a senior judge unanimously came to the conclusion that the judge should be removed from office, on the basis of his responsibility for shocking delays in finalizing cases, and for making changes to court orders after the orders had been made in open court, without notifying the parties to the case.  Furthermore, the Tribunal criticised the judge’s conduct towards the Chief Justice and legal practitioners, although it did not find this to be a factor justifying removal from office. This conduct included attempts to intimidate the Chief Justice.</w:t>
      </w:r>
      <w:r w:rsidR="006D308F">
        <w:rPr>
          <w:rFonts w:ascii="Verdana" w:hAnsi="Verdana"/>
          <w:sz w:val="18"/>
          <w:szCs w:val="18"/>
        </w:rPr>
        <w:t xml:space="preserve"> </w:t>
      </w:r>
      <w:r w:rsidR="003958C4" w:rsidRPr="004A7BB3">
        <w:rPr>
          <w:rFonts w:ascii="Verdana" w:hAnsi="Verdana"/>
          <w:sz w:val="18"/>
          <w:szCs w:val="18"/>
        </w:rPr>
        <w:t>We note that despite the President being legally obliged to do so, the President has not taken action to implement t</w:t>
      </w:r>
      <w:r w:rsidR="00CD2D85">
        <w:rPr>
          <w:rFonts w:ascii="Verdana" w:hAnsi="Verdana"/>
          <w:sz w:val="18"/>
          <w:szCs w:val="18"/>
        </w:rPr>
        <w:t>he Tribunal</w:t>
      </w:r>
      <w:r w:rsidR="004A7BB3">
        <w:rPr>
          <w:rFonts w:ascii="Verdana" w:hAnsi="Verdana"/>
          <w:sz w:val="18"/>
          <w:szCs w:val="18"/>
        </w:rPr>
        <w:t>’</w:t>
      </w:r>
      <w:r w:rsidR="00CD2D85">
        <w:rPr>
          <w:rFonts w:ascii="Verdana" w:hAnsi="Verdana"/>
          <w:sz w:val="18"/>
          <w:szCs w:val="18"/>
        </w:rPr>
        <w:t>s recommendations;</w:t>
      </w:r>
      <w:r w:rsidR="003958C4" w:rsidRPr="004A7BB3">
        <w:rPr>
          <w:rFonts w:ascii="Verdana" w:hAnsi="Verdana"/>
          <w:sz w:val="18"/>
          <w:szCs w:val="18"/>
        </w:rPr>
        <w:t xml:space="preserve"> </w:t>
      </w:r>
      <w:r w:rsidR="00CD2D85">
        <w:rPr>
          <w:rFonts w:ascii="Verdana" w:hAnsi="Verdana"/>
          <w:sz w:val="18"/>
          <w:szCs w:val="18"/>
        </w:rPr>
        <w:t>t</w:t>
      </w:r>
      <w:r w:rsidR="003958C4" w:rsidRPr="004A7BB3">
        <w:rPr>
          <w:rFonts w:ascii="Verdana" w:hAnsi="Verdana"/>
          <w:sz w:val="18"/>
          <w:szCs w:val="18"/>
        </w:rPr>
        <w:t>he judge remains in office.</w:t>
      </w:r>
      <w:r w:rsidR="000A4303">
        <w:rPr>
          <w:rFonts w:ascii="Verdana" w:hAnsi="Verdana"/>
          <w:sz w:val="18"/>
          <w:szCs w:val="18"/>
        </w:rPr>
        <w:t xml:space="preserve"> </w:t>
      </w:r>
      <w:r w:rsidR="009922F5">
        <w:rPr>
          <w:rFonts w:ascii="Verdana" w:hAnsi="Verdana"/>
          <w:sz w:val="18"/>
          <w:szCs w:val="18"/>
        </w:rPr>
        <w:t xml:space="preserve">The president’s inaction </w:t>
      </w:r>
      <w:r w:rsidR="003958C4" w:rsidRPr="004A7BB3">
        <w:rPr>
          <w:rFonts w:ascii="Verdana" w:hAnsi="Verdana"/>
          <w:sz w:val="18"/>
          <w:szCs w:val="18"/>
        </w:rPr>
        <w:t>negative</w:t>
      </w:r>
      <w:r w:rsidR="003A1799">
        <w:rPr>
          <w:rFonts w:ascii="Verdana" w:hAnsi="Verdana"/>
          <w:sz w:val="18"/>
          <w:szCs w:val="18"/>
        </w:rPr>
        <w:t>ly affects the</w:t>
      </w:r>
      <w:r w:rsidR="003958C4" w:rsidRPr="004A7BB3">
        <w:rPr>
          <w:rFonts w:ascii="Verdana" w:hAnsi="Verdana"/>
          <w:sz w:val="18"/>
          <w:szCs w:val="18"/>
        </w:rPr>
        <w:t xml:space="preserve"> perception of the independence and integrity of the judiciary in the Seychelles. </w:t>
      </w:r>
    </w:p>
    <w:p w14:paraId="454DBF52" w14:textId="56D14C09" w:rsidR="00B26682" w:rsidRDefault="000A4227" w:rsidP="004A7BB3">
      <w:pPr>
        <w:widowControl w:val="0"/>
        <w:autoSpaceDE w:val="0"/>
        <w:autoSpaceDN w:val="0"/>
        <w:adjustRightInd w:val="0"/>
        <w:spacing w:after="0" w:line="276" w:lineRule="auto"/>
        <w:jc w:val="both"/>
        <w:rPr>
          <w:rFonts w:ascii="Verdana" w:hAnsi="Verdana"/>
          <w:sz w:val="18"/>
          <w:szCs w:val="18"/>
        </w:rPr>
      </w:pPr>
      <w:r w:rsidRPr="003A52FE">
        <w:rPr>
          <w:rFonts w:ascii="Verdana" w:hAnsi="Verdana" w:cs="Times New Roman"/>
          <w:sz w:val="18"/>
          <w:szCs w:val="18"/>
          <w:lang w:val="en-US"/>
        </w:rPr>
        <w:t>The principles of judicial accountability and independence underpin public confidence in the judicial system and the importance of the judiciary as one of the three pillars upon which a responsible government relies.</w:t>
      </w:r>
      <w:r>
        <w:rPr>
          <w:rStyle w:val="FootnoteReference"/>
          <w:rFonts w:ascii="Verdana" w:hAnsi="Verdana" w:cs="Times New Roman"/>
          <w:sz w:val="18"/>
          <w:szCs w:val="18"/>
          <w:lang w:val="en-US"/>
        </w:rPr>
        <w:footnoteReference w:id="2"/>
      </w:r>
      <w:r>
        <w:rPr>
          <w:rFonts w:ascii="Verdana" w:hAnsi="Verdana" w:cs="Times New Roman"/>
          <w:sz w:val="18"/>
          <w:szCs w:val="18"/>
          <w:lang w:val="en-US"/>
        </w:rPr>
        <w:t xml:space="preserve"> </w:t>
      </w:r>
      <w:r w:rsidR="003958C4" w:rsidRPr="004A7BB3">
        <w:rPr>
          <w:rFonts w:ascii="Verdana" w:hAnsi="Verdana"/>
          <w:sz w:val="18"/>
          <w:szCs w:val="18"/>
        </w:rPr>
        <w:t xml:space="preserve">We register our concern with actions that have the effect of undermining the independence and integrity of the judiciary in the Seychelles. We call on all affected parties, including the government of the Seychelles, to take all necessary steps to ensure the independence and </w:t>
      </w:r>
      <w:r w:rsidR="003958C4" w:rsidRPr="004A7BB3">
        <w:rPr>
          <w:rFonts w:ascii="Verdana" w:hAnsi="Verdana"/>
          <w:sz w:val="18"/>
          <w:szCs w:val="18"/>
        </w:rPr>
        <w:lastRenderedPageBreak/>
        <w:t>integrity of the judiciary in the Seychelles.</w:t>
      </w:r>
      <w:r w:rsidR="00A048D7">
        <w:rPr>
          <w:rFonts w:ascii="Verdana" w:hAnsi="Verdana"/>
          <w:sz w:val="18"/>
          <w:szCs w:val="18"/>
        </w:rPr>
        <w:t xml:space="preserve"> </w:t>
      </w:r>
      <w:r w:rsidR="003958C4" w:rsidRPr="004A7BB3">
        <w:rPr>
          <w:rFonts w:ascii="Verdana" w:hAnsi="Verdana"/>
          <w:sz w:val="18"/>
          <w:szCs w:val="18"/>
        </w:rPr>
        <w:t>We further call on the President of the Seychelles to implement the decision of the Tribunal and to dismiss the judge who has been found unfit for judicial office.</w:t>
      </w:r>
    </w:p>
    <w:p w14:paraId="7F6F637F" w14:textId="77777777" w:rsidR="004A7BB3" w:rsidRDefault="004A7BB3" w:rsidP="004A7BB3">
      <w:pPr>
        <w:widowControl w:val="0"/>
        <w:autoSpaceDE w:val="0"/>
        <w:autoSpaceDN w:val="0"/>
        <w:adjustRightInd w:val="0"/>
        <w:spacing w:after="0" w:line="276" w:lineRule="auto"/>
        <w:jc w:val="both"/>
        <w:rPr>
          <w:rFonts w:ascii="Verdana" w:hAnsi="Verdana"/>
          <w:sz w:val="18"/>
          <w:szCs w:val="18"/>
        </w:rPr>
      </w:pPr>
    </w:p>
    <w:p w14:paraId="17623AB2" w14:textId="77777777" w:rsidR="004A7BB3" w:rsidRDefault="004A7BB3" w:rsidP="004A7BB3">
      <w:pPr>
        <w:widowControl w:val="0"/>
        <w:autoSpaceDE w:val="0"/>
        <w:autoSpaceDN w:val="0"/>
        <w:adjustRightInd w:val="0"/>
        <w:spacing w:after="0" w:line="276" w:lineRule="auto"/>
        <w:jc w:val="both"/>
        <w:rPr>
          <w:rFonts w:ascii="Verdana" w:hAnsi="Verdana" w:cs="Times New Roman"/>
          <w:color w:val="58595B"/>
          <w:sz w:val="17"/>
          <w:szCs w:val="17"/>
          <w:lang w:val="en-ZA" w:eastAsia="en-ZA"/>
        </w:rPr>
      </w:pPr>
    </w:p>
    <w:p w14:paraId="2E72871F" w14:textId="7052A032" w:rsidR="004A7BB3" w:rsidRDefault="004A7BB3" w:rsidP="004A7BB3">
      <w:pPr>
        <w:widowControl w:val="0"/>
        <w:autoSpaceDE w:val="0"/>
        <w:autoSpaceDN w:val="0"/>
        <w:adjustRightInd w:val="0"/>
        <w:spacing w:after="0" w:line="276" w:lineRule="auto"/>
        <w:jc w:val="both"/>
        <w:rPr>
          <w:rFonts w:ascii="Verdana" w:hAnsi="Verdana" w:cs="Times New Roman"/>
          <w:color w:val="58595B"/>
          <w:sz w:val="17"/>
          <w:szCs w:val="17"/>
          <w:lang w:val="en-ZA" w:eastAsia="en-ZA"/>
        </w:rPr>
      </w:pPr>
      <w:r>
        <w:rPr>
          <w:rFonts w:ascii="Verdana" w:hAnsi="Verdana" w:cs="Times New Roman"/>
          <w:color w:val="58595B"/>
          <w:sz w:val="17"/>
          <w:szCs w:val="17"/>
          <w:lang w:val="en-ZA" w:eastAsia="en-ZA"/>
        </w:rPr>
        <w:t xml:space="preserve">The Tribunal report can be found here. </w:t>
      </w:r>
    </w:p>
    <w:p w14:paraId="506FE936" w14:textId="77777777" w:rsidR="004A7BB3" w:rsidRDefault="004A7BB3" w:rsidP="004A7BB3">
      <w:pPr>
        <w:widowControl w:val="0"/>
        <w:autoSpaceDE w:val="0"/>
        <w:autoSpaceDN w:val="0"/>
        <w:adjustRightInd w:val="0"/>
        <w:spacing w:after="0" w:line="276" w:lineRule="auto"/>
        <w:jc w:val="both"/>
        <w:rPr>
          <w:rFonts w:ascii="Verdana" w:hAnsi="Verdana" w:cs="Times New Roman"/>
          <w:color w:val="58595B"/>
          <w:sz w:val="17"/>
          <w:szCs w:val="17"/>
          <w:lang w:val="en-ZA" w:eastAsia="en-ZA"/>
        </w:rPr>
      </w:pPr>
    </w:p>
    <w:p w14:paraId="6F48EE41" w14:textId="6EA6FDC4" w:rsidR="004A7BB3" w:rsidRDefault="00A461EB" w:rsidP="004A7BB3">
      <w:pPr>
        <w:widowControl w:val="0"/>
        <w:autoSpaceDE w:val="0"/>
        <w:autoSpaceDN w:val="0"/>
        <w:adjustRightInd w:val="0"/>
        <w:spacing w:after="0" w:line="276" w:lineRule="auto"/>
        <w:jc w:val="both"/>
        <w:rPr>
          <w:rFonts w:ascii="Verdana" w:hAnsi="Verdana" w:cs="Times New Roman"/>
          <w:color w:val="58595B"/>
          <w:sz w:val="17"/>
          <w:szCs w:val="17"/>
          <w:lang w:val="en-ZA" w:eastAsia="en-ZA"/>
        </w:rPr>
      </w:pPr>
      <w:hyperlink r:id="rId10" w:history="1">
        <w:r w:rsidR="004A7BB3" w:rsidRPr="00183A3D">
          <w:rPr>
            <w:rStyle w:val="Hyperlink"/>
            <w:rFonts w:ascii="Verdana" w:hAnsi="Verdana" w:cs="Times New Roman"/>
            <w:sz w:val="17"/>
            <w:szCs w:val="17"/>
            <w:lang w:val="en-ZA" w:eastAsia="en-ZA"/>
          </w:rPr>
          <w:t>https://www.seylii.org/content/report-tribunal-set-under-article-134-2-constitution-republic-seychelles-inquire-inability</w:t>
        </w:r>
      </w:hyperlink>
    </w:p>
    <w:p w14:paraId="2906207C" w14:textId="77777777" w:rsidR="004A7BB3" w:rsidRPr="004A7BB3" w:rsidRDefault="004A7BB3" w:rsidP="004A7BB3">
      <w:pPr>
        <w:widowControl w:val="0"/>
        <w:autoSpaceDE w:val="0"/>
        <w:autoSpaceDN w:val="0"/>
        <w:adjustRightInd w:val="0"/>
        <w:spacing w:after="0" w:line="276" w:lineRule="auto"/>
        <w:jc w:val="both"/>
        <w:rPr>
          <w:rFonts w:ascii="Verdana" w:hAnsi="Verdana" w:cs="Times New Roman"/>
          <w:sz w:val="18"/>
          <w:szCs w:val="18"/>
          <w:lang w:val="en-US"/>
        </w:rPr>
      </w:pPr>
    </w:p>
    <w:p w14:paraId="365EC9B7" w14:textId="77777777" w:rsidR="000A4227" w:rsidRDefault="000A4227" w:rsidP="00A048D7">
      <w:pPr>
        <w:pStyle w:val="Text"/>
        <w:spacing w:line="276" w:lineRule="auto"/>
        <w:jc w:val="both"/>
        <w:rPr>
          <w:rFonts w:ascii="Verdana" w:hAnsi="Verdana"/>
          <w:i/>
          <w:sz w:val="16"/>
          <w:szCs w:val="16"/>
          <w:lang w:val="en-GB"/>
        </w:rPr>
      </w:pPr>
    </w:p>
    <w:p w14:paraId="4306551E" w14:textId="357BFE97" w:rsidR="00A048D7" w:rsidRPr="004A7BB3" w:rsidRDefault="00A048D7" w:rsidP="00A048D7">
      <w:pPr>
        <w:pStyle w:val="Text"/>
        <w:spacing w:line="276" w:lineRule="auto"/>
        <w:jc w:val="both"/>
        <w:rPr>
          <w:rFonts w:ascii="Verdana" w:hAnsi="Verdana"/>
          <w:i/>
          <w:sz w:val="16"/>
          <w:szCs w:val="16"/>
          <w:lang w:val="en-GB"/>
        </w:rPr>
      </w:pPr>
      <w:r w:rsidRPr="004A7BB3">
        <w:rPr>
          <w:rFonts w:ascii="Verdana" w:hAnsi="Verdana"/>
          <w:i/>
          <w:sz w:val="16"/>
          <w:szCs w:val="16"/>
          <w:lang w:val="en-GB"/>
        </w:rPr>
        <w:t xml:space="preserve">For more information please contact: </w:t>
      </w:r>
    </w:p>
    <w:p w14:paraId="397C8DA3" w14:textId="5909F7E1" w:rsidR="00A048D7" w:rsidRPr="004A7BB3" w:rsidRDefault="00A048D7" w:rsidP="004A7BB3">
      <w:pPr>
        <w:pStyle w:val="Text"/>
        <w:spacing w:line="240" w:lineRule="auto"/>
        <w:jc w:val="both"/>
        <w:rPr>
          <w:rFonts w:ascii="Verdana" w:hAnsi="Verdana"/>
          <w:i/>
          <w:sz w:val="16"/>
          <w:szCs w:val="16"/>
          <w:lang w:val="en-GB"/>
        </w:rPr>
      </w:pPr>
      <w:r w:rsidRPr="004A7BB3">
        <w:rPr>
          <w:rFonts w:ascii="Verdana" w:hAnsi="Verdana"/>
          <w:i/>
          <w:sz w:val="16"/>
          <w:szCs w:val="16"/>
          <w:lang w:val="en-GB"/>
        </w:rPr>
        <w:t>Vanja</w:t>
      </w:r>
      <w:r w:rsidR="002F4AF5" w:rsidRPr="004A7BB3">
        <w:rPr>
          <w:rFonts w:ascii="Verdana" w:hAnsi="Verdana"/>
          <w:i/>
          <w:sz w:val="16"/>
          <w:szCs w:val="16"/>
          <w:lang w:val="en-GB"/>
        </w:rPr>
        <w:t xml:space="preserve"> Karth </w:t>
      </w:r>
      <w:r w:rsidR="00BE6806" w:rsidRPr="004A7BB3">
        <w:rPr>
          <w:rFonts w:ascii="Verdana" w:hAnsi="Verdana"/>
          <w:i/>
          <w:sz w:val="16"/>
          <w:szCs w:val="16"/>
          <w:lang w:val="en-GB"/>
        </w:rPr>
        <w:t xml:space="preserve">(DGRU) </w:t>
      </w:r>
      <w:r w:rsidR="002F4AF5" w:rsidRPr="004A7BB3">
        <w:rPr>
          <w:rFonts w:ascii="Verdana" w:hAnsi="Verdana"/>
          <w:i/>
          <w:sz w:val="16"/>
          <w:szCs w:val="16"/>
          <w:lang w:val="en-GB"/>
        </w:rPr>
        <w:t>+2782</w:t>
      </w:r>
      <w:r w:rsidR="00BE6806" w:rsidRPr="004A7BB3">
        <w:rPr>
          <w:rFonts w:ascii="Verdana" w:hAnsi="Verdana"/>
          <w:i/>
          <w:sz w:val="16"/>
          <w:szCs w:val="16"/>
          <w:lang w:val="en-GB"/>
        </w:rPr>
        <w:t>5811852</w:t>
      </w:r>
      <w:r w:rsidRPr="004A7BB3">
        <w:rPr>
          <w:rFonts w:ascii="Verdana" w:hAnsi="Verdana"/>
          <w:i/>
          <w:sz w:val="16"/>
          <w:szCs w:val="16"/>
          <w:lang w:val="en-GB"/>
        </w:rPr>
        <w:t xml:space="preserve"> </w:t>
      </w:r>
      <w:hyperlink r:id="rId11" w:history="1">
        <w:r w:rsidR="000A4227" w:rsidRPr="004A7BB3">
          <w:rPr>
            <w:rStyle w:val="Hyperlink"/>
            <w:rFonts w:ascii="Verdana" w:hAnsi="Verdana"/>
            <w:sz w:val="16"/>
            <w:szCs w:val="16"/>
          </w:rPr>
          <w:t>vanja.karth@uct.ac.za</w:t>
        </w:r>
      </w:hyperlink>
      <w:r w:rsidR="000A4227" w:rsidRPr="004A7BB3">
        <w:rPr>
          <w:rFonts w:ascii="Verdana" w:hAnsi="Verdana"/>
          <w:i/>
          <w:sz w:val="16"/>
          <w:szCs w:val="16"/>
          <w:lang w:val="en-GB"/>
        </w:rPr>
        <w:t xml:space="preserve"> </w:t>
      </w:r>
    </w:p>
    <w:p w14:paraId="64FC2DF9" w14:textId="5A99BD8F" w:rsidR="00A048D7" w:rsidRDefault="00A048D7" w:rsidP="004A7BB3">
      <w:pPr>
        <w:pStyle w:val="Text"/>
        <w:spacing w:line="240" w:lineRule="auto"/>
        <w:jc w:val="both"/>
        <w:rPr>
          <w:rFonts w:ascii="Verdana" w:hAnsi="Verdana"/>
          <w:i/>
          <w:sz w:val="16"/>
          <w:szCs w:val="16"/>
          <w:lang w:val="en-GB"/>
        </w:rPr>
      </w:pPr>
      <w:r w:rsidRPr="004A7BB3">
        <w:rPr>
          <w:rFonts w:ascii="Verdana" w:hAnsi="Verdana"/>
          <w:i/>
          <w:sz w:val="16"/>
          <w:szCs w:val="16"/>
          <w:lang w:val="en-GB"/>
        </w:rPr>
        <w:t xml:space="preserve">Martin </w:t>
      </w:r>
      <w:proofErr w:type="spellStart"/>
      <w:r w:rsidRPr="004A7BB3">
        <w:rPr>
          <w:rFonts w:ascii="Verdana" w:hAnsi="Verdana"/>
          <w:i/>
          <w:sz w:val="16"/>
          <w:szCs w:val="16"/>
          <w:lang w:val="en-GB"/>
        </w:rPr>
        <w:t>Okumu-Masiga</w:t>
      </w:r>
      <w:proofErr w:type="spellEnd"/>
      <w:r w:rsidRPr="004A7BB3">
        <w:rPr>
          <w:rFonts w:ascii="Verdana" w:hAnsi="Verdana"/>
          <w:i/>
          <w:sz w:val="16"/>
          <w:szCs w:val="16"/>
          <w:lang w:val="en-GB"/>
        </w:rPr>
        <w:t xml:space="preserve"> </w:t>
      </w:r>
      <w:r w:rsidR="00BE6806" w:rsidRPr="004A7BB3">
        <w:rPr>
          <w:rFonts w:ascii="Verdana" w:hAnsi="Verdana"/>
          <w:i/>
          <w:sz w:val="16"/>
          <w:szCs w:val="16"/>
          <w:lang w:val="en-GB"/>
        </w:rPr>
        <w:t xml:space="preserve">(AJJF) </w:t>
      </w:r>
      <w:r w:rsidRPr="004A7BB3">
        <w:rPr>
          <w:rFonts w:ascii="Verdana" w:hAnsi="Verdana"/>
          <w:i/>
          <w:sz w:val="16"/>
          <w:szCs w:val="16"/>
          <w:lang w:val="en-GB"/>
        </w:rPr>
        <w:t xml:space="preserve">+256 758516827; </w:t>
      </w:r>
      <w:hyperlink r:id="rId12" w:history="1">
        <w:r w:rsidR="000A4227" w:rsidRPr="004A7BB3">
          <w:rPr>
            <w:rStyle w:val="Hyperlink"/>
            <w:rFonts w:ascii="Verdana" w:hAnsi="Verdana"/>
            <w:i/>
            <w:sz w:val="16"/>
            <w:szCs w:val="16"/>
            <w:lang w:val="en-GB"/>
          </w:rPr>
          <w:t>okumu-masiga@africajurists.org</w:t>
        </w:r>
      </w:hyperlink>
      <w:r w:rsidR="000A4227" w:rsidRPr="004A7BB3">
        <w:rPr>
          <w:rFonts w:ascii="Verdana" w:hAnsi="Verdana"/>
          <w:i/>
          <w:sz w:val="16"/>
          <w:szCs w:val="16"/>
          <w:lang w:val="en-GB"/>
        </w:rPr>
        <w:t xml:space="preserve"> </w:t>
      </w:r>
    </w:p>
    <w:p w14:paraId="2A160CE2" w14:textId="64EB9A76" w:rsidR="00A461EB" w:rsidRDefault="00A461EB" w:rsidP="004A7BB3">
      <w:pPr>
        <w:pStyle w:val="Text"/>
        <w:spacing w:line="240" w:lineRule="auto"/>
        <w:jc w:val="both"/>
        <w:rPr>
          <w:rFonts w:ascii="Verdana" w:hAnsi="Verdana"/>
          <w:i/>
          <w:sz w:val="16"/>
          <w:szCs w:val="16"/>
          <w:lang w:val="en-GB"/>
        </w:rPr>
      </w:pPr>
      <w:r>
        <w:rPr>
          <w:rFonts w:ascii="Verdana" w:hAnsi="Verdana"/>
          <w:i/>
          <w:sz w:val="16"/>
          <w:szCs w:val="16"/>
          <w:lang w:val="en-GB"/>
        </w:rPr>
        <w:t xml:space="preserve">Cagney Musi </w:t>
      </w:r>
      <w:bookmarkStart w:id="0" w:name="_GoBack"/>
      <w:bookmarkEnd w:id="0"/>
      <w:r>
        <w:rPr>
          <w:rFonts w:ascii="Verdana" w:hAnsi="Verdana"/>
          <w:i/>
          <w:sz w:val="16"/>
          <w:szCs w:val="16"/>
          <w:lang w:val="en-GB"/>
        </w:rPr>
        <w:t xml:space="preserve">(Africa-group International Association of Judges) </w:t>
      </w:r>
      <w:hyperlink r:id="rId13" w:history="1">
        <w:r w:rsidRPr="00183A3D">
          <w:rPr>
            <w:rStyle w:val="Hyperlink"/>
            <w:rFonts w:ascii="Verdana" w:hAnsi="Verdana"/>
            <w:i/>
            <w:sz w:val="16"/>
            <w:szCs w:val="16"/>
            <w:lang w:val="en-GB"/>
          </w:rPr>
          <w:t>CMusi@judiciary.org.za</w:t>
        </w:r>
      </w:hyperlink>
    </w:p>
    <w:p w14:paraId="766441FF" w14:textId="77777777" w:rsidR="00A461EB" w:rsidRPr="004A7BB3" w:rsidRDefault="00A461EB" w:rsidP="004A7BB3">
      <w:pPr>
        <w:pStyle w:val="Text"/>
        <w:spacing w:line="240" w:lineRule="auto"/>
        <w:jc w:val="both"/>
        <w:rPr>
          <w:rFonts w:ascii="Verdana" w:hAnsi="Verdana"/>
          <w:i/>
          <w:sz w:val="16"/>
          <w:szCs w:val="16"/>
          <w:lang w:val="en-GB"/>
        </w:rPr>
      </w:pPr>
    </w:p>
    <w:p w14:paraId="67B91923" w14:textId="69103FEE" w:rsidR="00A048D7" w:rsidRPr="004A7BB3" w:rsidRDefault="00A048D7" w:rsidP="004A7BB3">
      <w:pPr>
        <w:spacing w:line="276" w:lineRule="auto"/>
        <w:jc w:val="both"/>
        <w:rPr>
          <w:rFonts w:ascii="Verdana" w:hAnsi="Verdana"/>
          <w:sz w:val="18"/>
          <w:szCs w:val="18"/>
        </w:rPr>
      </w:pPr>
    </w:p>
    <w:p w14:paraId="7EDD07C9" w14:textId="77777777" w:rsidR="00B26682" w:rsidRPr="004A7BB3" w:rsidRDefault="00B26682">
      <w:pPr>
        <w:rPr>
          <w:rFonts w:ascii="Verdana" w:hAnsi="Verdana"/>
          <w:sz w:val="18"/>
          <w:szCs w:val="18"/>
        </w:rPr>
      </w:pPr>
    </w:p>
    <w:p w14:paraId="4913E14B" w14:textId="77777777" w:rsidR="002571A4" w:rsidRPr="004A7BB3" w:rsidRDefault="002571A4">
      <w:pPr>
        <w:rPr>
          <w:rFonts w:ascii="Verdana" w:hAnsi="Verdana"/>
          <w:sz w:val="19"/>
          <w:szCs w:val="19"/>
        </w:rPr>
      </w:pPr>
    </w:p>
    <w:sectPr w:rsidR="002571A4" w:rsidRPr="004A7B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6F130" w14:textId="77777777" w:rsidR="00375072" w:rsidRDefault="00375072" w:rsidP="000667CE">
      <w:pPr>
        <w:spacing w:after="0" w:line="240" w:lineRule="auto"/>
      </w:pPr>
      <w:r>
        <w:separator/>
      </w:r>
    </w:p>
  </w:endnote>
  <w:endnote w:type="continuationSeparator" w:id="0">
    <w:p w14:paraId="080229D9" w14:textId="77777777" w:rsidR="00375072" w:rsidRDefault="00375072" w:rsidP="0006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D8834" w14:textId="77777777" w:rsidR="00375072" w:rsidRDefault="00375072" w:rsidP="000667CE">
      <w:pPr>
        <w:spacing w:after="0" w:line="240" w:lineRule="auto"/>
      </w:pPr>
      <w:r>
        <w:separator/>
      </w:r>
    </w:p>
  </w:footnote>
  <w:footnote w:type="continuationSeparator" w:id="0">
    <w:p w14:paraId="3CE54955" w14:textId="77777777" w:rsidR="00375072" w:rsidRDefault="00375072" w:rsidP="000667CE">
      <w:pPr>
        <w:spacing w:after="0" w:line="240" w:lineRule="auto"/>
      </w:pPr>
      <w:r>
        <w:continuationSeparator/>
      </w:r>
    </w:p>
  </w:footnote>
  <w:footnote w:id="1">
    <w:p w14:paraId="6728A076" w14:textId="77777777" w:rsidR="00375072" w:rsidRPr="004A7BB3" w:rsidRDefault="00375072" w:rsidP="00A33070">
      <w:pPr>
        <w:widowControl w:val="0"/>
        <w:autoSpaceDE w:val="0"/>
        <w:autoSpaceDN w:val="0"/>
        <w:adjustRightInd w:val="0"/>
        <w:spacing w:after="0" w:line="240" w:lineRule="auto"/>
        <w:rPr>
          <w:rFonts w:ascii="Verdana" w:hAnsi="Verdana" w:cs="Times New Roman"/>
          <w:sz w:val="16"/>
          <w:szCs w:val="16"/>
          <w:lang w:val="en-US"/>
        </w:rPr>
      </w:pPr>
      <w:r w:rsidRPr="004A7BB3">
        <w:rPr>
          <w:rStyle w:val="FootnoteReference"/>
          <w:rFonts w:ascii="Verdana" w:hAnsi="Verdana"/>
          <w:sz w:val="16"/>
          <w:szCs w:val="16"/>
        </w:rPr>
        <w:footnoteRef/>
      </w:r>
      <w:r w:rsidRPr="004A7BB3">
        <w:rPr>
          <w:rFonts w:ascii="Verdana" w:hAnsi="Verdana"/>
          <w:sz w:val="16"/>
          <w:szCs w:val="16"/>
        </w:rPr>
        <w:t xml:space="preserve"> </w:t>
      </w:r>
      <w:r w:rsidRPr="004A7BB3">
        <w:rPr>
          <w:rFonts w:ascii="Verdana" w:hAnsi="Verdana" w:cs="Times New Roman"/>
          <w:sz w:val="16"/>
          <w:szCs w:val="16"/>
          <w:lang w:val="en-US"/>
        </w:rPr>
        <w:t xml:space="preserve">Principle IV – </w:t>
      </w:r>
      <w:r w:rsidRPr="004A7BB3">
        <w:rPr>
          <w:rFonts w:ascii="Verdana" w:hAnsi="Verdana" w:cs="Times New Roman"/>
          <w:i/>
          <w:sz w:val="16"/>
          <w:szCs w:val="16"/>
          <w:lang w:val="en-US"/>
        </w:rPr>
        <w:t>Independence of the Judiciary</w:t>
      </w:r>
      <w:r w:rsidRPr="004A7BB3">
        <w:rPr>
          <w:rFonts w:ascii="Verdana" w:hAnsi="Verdana" w:cs="Times New Roman"/>
          <w:sz w:val="16"/>
          <w:szCs w:val="16"/>
          <w:lang w:val="en-US"/>
        </w:rPr>
        <w:t xml:space="preserve"> Commonwealth Latimer House Principles</w:t>
      </w:r>
    </w:p>
    <w:p w14:paraId="5A27EB38" w14:textId="2FF86432" w:rsidR="00375072" w:rsidRPr="004A7BB3" w:rsidRDefault="00375072">
      <w:pPr>
        <w:pStyle w:val="FootnoteText"/>
        <w:rPr>
          <w:rFonts w:ascii="Verdana" w:hAnsi="Verdana"/>
          <w:sz w:val="16"/>
          <w:szCs w:val="16"/>
          <w:lang w:val="en-US"/>
        </w:rPr>
      </w:pPr>
    </w:p>
  </w:footnote>
  <w:footnote w:id="2">
    <w:p w14:paraId="292103B7" w14:textId="77777777" w:rsidR="00375072" w:rsidRPr="001C6B89" w:rsidRDefault="00375072" w:rsidP="000A4227">
      <w:pPr>
        <w:pStyle w:val="FootnoteText"/>
        <w:rPr>
          <w:rFonts w:ascii="Verdana" w:hAnsi="Verdana"/>
          <w:sz w:val="16"/>
          <w:szCs w:val="16"/>
          <w:lang w:val="en-US"/>
        </w:rPr>
      </w:pPr>
      <w:r w:rsidRPr="001C6B89">
        <w:rPr>
          <w:rStyle w:val="FootnoteReference"/>
          <w:rFonts w:ascii="Verdana" w:hAnsi="Verdana"/>
          <w:sz w:val="16"/>
          <w:szCs w:val="16"/>
        </w:rPr>
        <w:footnoteRef/>
      </w:r>
      <w:r w:rsidRPr="001C6B89">
        <w:rPr>
          <w:rFonts w:ascii="Verdana" w:hAnsi="Verdana"/>
          <w:sz w:val="16"/>
          <w:szCs w:val="16"/>
        </w:rPr>
        <w:t xml:space="preserve"> </w:t>
      </w:r>
      <w:r w:rsidRPr="001C6B89">
        <w:rPr>
          <w:rFonts w:ascii="Verdana" w:hAnsi="Verdana" w:cs="Times New Roman"/>
          <w:sz w:val="16"/>
          <w:szCs w:val="16"/>
          <w:lang w:val="en-US"/>
        </w:rPr>
        <w:t xml:space="preserve">Principle VII(b) – </w:t>
      </w:r>
      <w:r w:rsidRPr="001C6B89">
        <w:rPr>
          <w:rFonts w:ascii="Verdana" w:hAnsi="Verdana" w:cs="Times New Roman"/>
          <w:i/>
          <w:sz w:val="16"/>
          <w:szCs w:val="16"/>
          <w:lang w:val="en-US"/>
        </w:rPr>
        <w:t>Judicial Accountability</w:t>
      </w:r>
      <w:r w:rsidRPr="001C6B89">
        <w:rPr>
          <w:rFonts w:ascii="Verdana" w:hAnsi="Verdana" w:cs="Times New Roman"/>
          <w:sz w:val="16"/>
          <w:szCs w:val="16"/>
          <w:lang w:val="en-US"/>
        </w:rPr>
        <w:t xml:space="preserve"> Commonwealth Latimer House Principles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B0F"/>
    <w:rsid w:val="00001927"/>
    <w:rsid w:val="000534A2"/>
    <w:rsid w:val="000667CE"/>
    <w:rsid w:val="000A4227"/>
    <w:rsid w:val="000A4303"/>
    <w:rsid w:val="000B733C"/>
    <w:rsid w:val="000F50E6"/>
    <w:rsid w:val="00107C1C"/>
    <w:rsid w:val="00182B39"/>
    <w:rsid w:val="0019341E"/>
    <w:rsid w:val="001B5808"/>
    <w:rsid w:val="001B66C0"/>
    <w:rsid w:val="00206CDB"/>
    <w:rsid w:val="00206D38"/>
    <w:rsid w:val="0021541B"/>
    <w:rsid w:val="00222858"/>
    <w:rsid w:val="00245939"/>
    <w:rsid w:val="002571A4"/>
    <w:rsid w:val="00283114"/>
    <w:rsid w:val="002C543F"/>
    <w:rsid w:val="002E7285"/>
    <w:rsid w:val="002F4AF5"/>
    <w:rsid w:val="00333229"/>
    <w:rsid w:val="00375072"/>
    <w:rsid w:val="003958C4"/>
    <w:rsid w:val="003A1799"/>
    <w:rsid w:val="003B7EFE"/>
    <w:rsid w:val="003C4750"/>
    <w:rsid w:val="003F3A09"/>
    <w:rsid w:val="003F60A1"/>
    <w:rsid w:val="00400270"/>
    <w:rsid w:val="00420E72"/>
    <w:rsid w:val="00425827"/>
    <w:rsid w:val="0043519A"/>
    <w:rsid w:val="00486C0F"/>
    <w:rsid w:val="004A2F13"/>
    <w:rsid w:val="004A7BB3"/>
    <w:rsid w:val="004D0B0F"/>
    <w:rsid w:val="004F1C7F"/>
    <w:rsid w:val="00526CE6"/>
    <w:rsid w:val="00540BF9"/>
    <w:rsid w:val="00565622"/>
    <w:rsid w:val="00593001"/>
    <w:rsid w:val="005A0ABB"/>
    <w:rsid w:val="005D05D8"/>
    <w:rsid w:val="00611424"/>
    <w:rsid w:val="0063650D"/>
    <w:rsid w:val="00667FDF"/>
    <w:rsid w:val="006710A3"/>
    <w:rsid w:val="006A39DF"/>
    <w:rsid w:val="006D308F"/>
    <w:rsid w:val="006D4ABC"/>
    <w:rsid w:val="007018FF"/>
    <w:rsid w:val="0075229A"/>
    <w:rsid w:val="00765BCB"/>
    <w:rsid w:val="007B5713"/>
    <w:rsid w:val="007C6898"/>
    <w:rsid w:val="007D158B"/>
    <w:rsid w:val="00825C7B"/>
    <w:rsid w:val="008261D4"/>
    <w:rsid w:val="00834C2D"/>
    <w:rsid w:val="008435B7"/>
    <w:rsid w:val="0085577B"/>
    <w:rsid w:val="0087007E"/>
    <w:rsid w:val="00874266"/>
    <w:rsid w:val="008C20D9"/>
    <w:rsid w:val="008C62B7"/>
    <w:rsid w:val="008D06F4"/>
    <w:rsid w:val="008E3764"/>
    <w:rsid w:val="00924F0D"/>
    <w:rsid w:val="009922F5"/>
    <w:rsid w:val="009F35FB"/>
    <w:rsid w:val="00A048D7"/>
    <w:rsid w:val="00A24A69"/>
    <w:rsid w:val="00A329A2"/>
    <w:rsid w:val="00A33070"/>
    <w:rsid w:val="00A461EB"/>
    <w:rsid w:val="00A47CB2"/>
    <w:rsid w:val="00AA65D4"/>
    <w:rsid w:val="00AD3605"/>
    <w:rsid w:val="00AE2368"/>
    <w:rsid w:val="00AE4887"/>
    <w:rsid w:val="00AE63F7"/>
    <w:rsid w:val="00B26682"/>
    <w:rsid w:val="00B64DC3"/>
    <w:rsid w:val="00B71A81"/>
    <w:rsid w:val="00BC64C8"/>
    <w:rsid w:val="00BD41EE"/>
    <w:rsid w:val="00BE55C7"/>
    <w:rsid w:val="00BE6806"/>
    <w:rsid w:val="00BE7037"/>
    <w:rsid w:val="00C02149"/>
    <w:rsid w:val="00C65F48"/>
    <w:rsid w:val="00C86C3D"/>
    <w:rsid w:val="00CC626E"/>
    <w:rsid w:val="00CC714F"/>
    <w:rsid w:val="00CD2D85"/>
    <w:rsid w:val="00CD5948"/>
    <w:rsid w:val="00CD697A"/>
    <w:rsid w:val="00CE2370"/>
    <w:rsid w:val="00CE6178"/>
    <w:rsid w:val="00D06C66"/>
    <w:rsid w:val="00D340C9"/>
    <w:rsid w:val="00D50068"/>
    <w:rsid w:val="00D5545E"/>
    <w:rsid w:val="00D75EE9"/>
    <w:rsid w:val="00D8342F"/>
    <w:rsid w:val="00D841C3"/>
    <w:rsid w:val="00DC397F"/>
    <w:rsid w:val="00E05439"/>
    <w:rsid w:val="00E33B4C"/>
    <w:rsid w:val="00E54C52"/>
    <w:rsid w:val="00E81552"/>
    <w:rsid w:val="00EF1C51"/>
    <w:rsid w:val="00EF2989"/>
    <w:rsid w:val="00EF7874"/>
    <w:rsid w:val="00F03942"/>
    <w:rsid w:val="00F06822"/>
    <w:rsid w:val="00F22BD6"/>
    <w:rsid w:val="00F238FB"/>
    <w:rsid w:val="00F72535"/>
    <w:rsid w:val="00F74074"/>
    <w:rsid w:val="00F77243"/>
    <w:rsid w:val="00F87A58"/>
    <w:rsid w:val="00FB544F"/>
    <w:rsid w:val="00FC2C20"/>
    <w:rsid w:val="00FC64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23DD2"/>
  <w15:docId w15:val="{AA4E395E-3DA6-4E63-A7BC-811927B1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667CE"/>
    <w:pPr>
      <w:spacing w:after="0" w:line="240" w:lineRule="auto"/>
    </w:pPr>
    <w:rPr>
      <w:sz w:val="20"/>
      <w:szCs w:val="20"/>
    </w:rPr>
  </w:style>
  <w:style w:type="character" w:customStyle="1" w:styleId="FootnoteTextChar">
    <w:name w:val="Footnote Text Char"/>
    <w:basedOn w:val="DefaultParagraphFont"/>
    <w:link w:val="FootnoteText"/>
    <w:uiPriority w:val="99"/>
    <w:rsid w:val="000667CE"/>
    <w:rPr>
      <w:sz w:val="20"/>
      <w:szCs w:val="20"/>
    </w:rPr>
  </w:style>
  <w:style w:type="character" w:styleId="FootnoteReference">
    <w:name w:val="footnote reference"/>
    <w:basedOn w:val="DefaultParagraphFont"/>
    <w:uiPriority w:val="99"/>
    <w:unhideWhenUsed/>
    <w:rsid w:val="000667CE"/>
    <w:rPr>
      <w:vertAlign w:val="superscript"/>
    </w:rPr>
  </w:style>
  <w:style w:type="paragraph" w:styleId="BalloonText">
    <w:name w:val="Balloon Text"/>
    <w:basedOn w:val="Normal"/>
    <w:link w:val="BalloonTextChar"/>
    <w:uiPriority w:val="99"/>
    <w:semiHidden/>
    <w:unhideWhenUsed/>
    <w:rsid w:val="001B66C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6C0"/>
    <w:rPr>
      <w:rFonts w:ascii="Lucida Grande" w:hAnsi="Lucida Grande" w:cs="Lucida Grande"/>
      <w:sz w:val="18"/>
      <w:szCs w:val="18"/>
    </w:rPr>
  </w:style>
  <w:style w:type="character" w:styleId="CommentReference">
    <w:name w:val="annotation reference"/>
    <w:basedOn w:val="DefaultParagraphFont"/>
    <w:uiPriority w:val="99"/>
    <w:semiHidden/>
    <w:unhideWhenUsed/>
    <w:rsid w:val="003958C4"/>
    <w:rPr>
      <w:sz w:val="16"/>
      <w:szCs w:val="16"/>
    </w:rPr>
  </w:style>
  <w:style w:type="paragraph" w:styleId="CommentText">
    <w:name w:val="annotation text"/>
    <w:basedOn w:val="Normal"/>
    <w:link w:val="CommentTextChar"/>
    <w:uiPriority w:val="99"/>
    <w:semiHidden/>
    <w:unhideWhenUsed/>
    <w:rsid w:val="003958C4"/>
    <w:pPr>
      <w:spacing w:line="240" w:lineRule="auto"/>
    </w:pPr>
    <w:rPr>
      <w:sz w:val="20"/>
      <w:szCs w:val="20"/>
    </w:rPr>
  </w:style>
  <w:style w:type="character" w:customStyle="1" w:styleId="CommentTextChar">
    <w:name w:val="Comment Text Char"/>
    <w:basedOn w:val="DefaultParagraphFont"/>
    <w:link w:val="CommentText"/>
    <w:uiPriority w:val="99"/>
    <w:semiHidden/>
    <w:rsid w:val="003958C4"/>
    <w:rPr>
      <w:sz w:val="20"/>
      <w:szCs w:val="20"/>
    </w:rPr>
  </w:style>
  <w:style w:type="paragraph" w:customStyle="1" w:styleId="Text">
    <w:name w:val="Text"/>
    <w:basedOn w:val="Normal"/>
    <w:link w:val="TextChar"/>
    <w:rsid w:val="00A048D7"/>
    <w:pPr>
      <w:spacing w:after="220" w:line="336" w:lineRule="auto"/>
    </w:pPr>
    <w:rPr>
      <w:rFonts w:ascii="Century Gothic" w:eastAsia="Times New Roman" w:hAnsi="Century Gothic" w:cs="Times New Roman"/>
      <w:sz w:val="18"/>
      <w:szCs w:val="18"/>
      <w:lang w:val="en-US"/>
    </w:rPr>
  </w:style>
  <w:style w:type="character" w:customStyle="1" w:styleId="TextChar">
    <w:name w:val="Text Char"/>
    <w:basedOn w:val="DefaultParagraphFont"/>
    <w:link w:val="Text"/>
    <w:rsid w:val="00A048D7"/>
    <w:rPr>
      <w:rFonts w:ascii="Century Gothic" w:eastAsia="Times New Roman" w:hAnsi="Century Gothic" w:cs="Times New Roman"/>
      <w:sz w:val="18"/>
      <w:szCs w:val="18"/>
      <w:lang w:val="en-US"/>
    </w:rPr>
  </w:style>
  <w:style w:type="character" w:styleId="Hyperlink">
    <w:name w:val="Hyperlink"/>
    <w:basedOn w:val="DefaultParagraphFont"/>
    <w:uiPriority w:val="99"/>
    <w:unhideWhenUsed/>
    <w:rsid w:val="000A4227"/>
    <w:rPr>
      <w:color w:val="0563C1" w:themeColor="hyperlink"/>
      <w:u w:val="single"/>
    </w:rPr>
  </w:style>
  <w:style w:type="paragraph" w:styleId="NormalWeb">
    <w:name w:val="Normal (Web)"/>
    <w:basedOn w:val="Normal"/>
    <w:uiPriority w:val="99"/>
    <w:semiHidden/>
    <w:unhideWhenUsed/>
    <w:rsid w:val="004A7BB3"/>
    <w:pPr>
      <w:spacing w:before="100" w:beforeAutospacing="1" w:after="100" w:afterAutospacing="1" w:line="240" w:lineRule="auto"/>
    </w:pPr>
    <w:rPr>
      <w:rFonts w:ascii="Times New Roman" w:hAnsi="Times New Roman" w:cs="Times New Roman"/>
      <w:sz w:val="24"/>
      <w:szCs w:val="24"/>
      <w:lang w:val="en-ZA" w:eastAsia="en-ZA"/>
    </w:rPr>
  </w:style>
  <w:style w:type="character" w:styleId="FollowedHyperlink">
    <w:name w:val="FollowedHyperlink"/>
    <w:basedOn w:val="DefaultParagraphFont"/>
    <w:uiPriority w:val="99"/>
    <w:semiHidden/>
    <w:unhideWhenUsed/>
    <w:rsid w:val="004A7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05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Musi@judiciary.org.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kumu-masiga@africajurist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vanja.karth@uct.ac.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eylii.org/content/report-tribunal-set-under-article-134-2-constitution-republic-seychelles-inquire-inabilit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C950B-4467-4474-9E22-99A05FBD5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694</Words>
  <Characters>3958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Oxtoby</dc:creator>
  <cp:lastModifiedBy>Vanja Karth</cp:lastModifiedBy>
  <cp:revision>2</cp:revision>
  <dcterms:created xsi:type="dcterms:W3CDTF">2017-10-31T09:51:00Z</dcterms:created>
  <dcterms:modified xsi:type="dcterms:W3CDTF">2017-10-31T09:51:00Z</dcterms:modified>
</cp:coreProperties>
</file>